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黑体" w:hAnsi="黑体" w:eastAsia="黑体"/>
          <w:sz w:val="32"/>
          <w:szCs w:val="32"/>
        </w:rPr>
      </w:pPr>
      <w:bookmarkStart w:id="0" w:name="_GoBack"/>
      <w:bookmarkEnd w:id="0"/>
      <w:r>
        <w:rPr>
          <w:rFonts w:hint="eastAsia" w:ascii="黑体" w:hAnsi="黑体" w:eastAsia="黑体"/>
          <w:sz w:val="32"/>
          <w:szCs w:val="32"/>
        </w:rPr>
        <w:t>附件</w:t>
      </w:r>
    </w:p>
    <w:p>
      <w:pPr>
        <w:spacing w:line="600" w:lineRule="exact"/>
        <w:jc w:val="center"/>
        <w:rPr>
          <w:rFonts w:ascii="方正小标宋_GBK" w:eastAsia="方正小标宋_GBK"/>
          <w:sz w:val="44"/>
          <w:szCs w:val="44"/>
        </w:rPr>
      </w:pPr>
      <w:r>
        <w:rPr>
          <w:rFonts w:hint="eastAsia" w:ascii="方正小标宋_GBK" w:eastAsia="方正小标宋_GBK"/>
          <w:sz w:val="44"/>
          <w:szCs w:val="44"/>
        </w:rPr>
        <w:t>安徽开放大学高等学历继续教育缴款码</w:t>
      </w:r>
    </w:p>
    <w:p>
      <w:pPr>
        <w:spacing w:line="600" w:lineRule="exact"/>
        <w:jc w:val="center"/>
        <w:rPr>
          <w:rFonts w:ascii="方正小标宋_GBK" w:eastAsia="方正小标宋_GBK"/>
          <w:sz w:val="44"/>
          <w:szCs w:val="44"/>
        </w:rPr>
      </w:pPr>
      <w:r>
        <w:rPr>
          <w:rFonts w:hint="eastAsia" w:ascii="方正小标宋_GBK" w:eastAsia="方正小标宋_GBK"/>
          <w:sz w:val="44"/>
          <w:szCs w:val="44"/>
        </w:rPr>
        <w:t>查询及发票下载系统操作指南</w:t>
      </w:r>
    </w:p>
    <w:p>
      <w:pPr>
        <w:spacing w:line="600" w:lineRule="exact"/>
        <w:ind w:firstLine="643" w:firstLineChars="200"/>
        <w:rPr>
          <w:rFonts w:ascii="仿宋_GB2312" w:eastAsia="仿宋_GB2312"/>
          <w:b/>
          <w:bCs/>
          <w:sz w:val="32"/>
          <w:szCs w:val="32"/>
        </w:rPr>
      </w:pPr>
    </w:p>
    <w:p>
      <w:pPr>
        <w:spacing w:line="600" w:lineRule="exact"/>
        <w:ind w:firstLine="643" w:firstLineChars="200"/>
        <w:rPr>
          <w:rFonts w:ascii="仿宋_GB2312" w:eastAsia="仿宋_GB2312"/>
          <w:b/>
          <w:bCs/>
          <w:sz w:val="32"/>
          <w:szCs w:val="32"/>
        </w:rPr>
      </w:pPr>
      <w:r>
        <w:rPr>
          <w:rFonts w:hint="eastAsia" w:ascii="仿宋_GB2312" w:eastAsia="仿宋_GB2312"/>
          <w:b/>
          <w:bCs/>
          <w:sz w:val="32"/>
          <w:szCs w:val="32"/>
        </w:rPr>
        <w:t>一、通过“安徽继续教育在线”接口进入</w:t>
      </w:r>
    </w:p>
    <w:p>
      <w:pPr>
        <w:spacing w:line="600" w:lineRule="exact"/>
        <w:ind w:firstLine="420" w:firstLineChars="200"/>
        <w:rPr>
          <w:rFonts w:ascii="仿宋_GB2312" w:eastAsia="仿宋_GB2312"/>
          <w:sz w:val="32"/>
          <w:szCs w:val="32"/>
        </w:rPr>
      </w:pPr>
      <w:r>
        <w:drawing>
          <wp:anchor distT="0" distB="0" distL="114300" distR="114300" simplePos="0" relativeHeight="251661312" behindDoc="0" locked="0" layoutInCell="1" allowOverlap="1">
            <wp:simplePos x="0" y="0"/>
            <wp:positionH relativeFrom="column">
              <wp:posOffset>107950</wp:posOffset>
            </wp:positionH>
            <wp:positionV relativeFrom="paragraph">
              <wp:posOffset>819150</wp:posOffset>
            </wp:positionV>
            <wp:extent cx="5274310" cy="2092960"/>
            <wp:effectExtent l="0" t="0" r="2540" b="254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092960"/>
                    </a:xfrm>
                    <a:prstGeom prst="rect">
                      <a:avLst/>
                    </a:prstGeom>
                  </pic:spPr>
                </pic:pic>
              </a:graphicData>
            </a:graphic>
          </wp:anchor>
        </w:drawing>
      </w: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学生使用个人账号登录“安徽继续教育在线”，进入学习空间，找到相应缴费记录。</w:t>
      </w:r>
    </w:p>
    <w:p>
      <w:pPr>
        <w:spacing w:line="600" w:lineRule="exact"/>
        <w:ind w:firstLine="640" w:firstLineChars="200"/>
        <w:rPr>
          <w:rFonts w:ascii="仿宋_GB2312" w:eastAsia="仿宋_GB2312"/>
          <w:sz w:val="32"/>
          <w:szCs w:val="32"/>
        </w:rPr>
      </w:pPr>
    </w:p>
    <w:p>
      <w:pPr>
        <w:spacing w:line="600" w:lineRule="exact"/>
        <w:ind w:firstLine="420" w:firstLineChars="200"/>
        <w:rPr>
          <w:rFonts w:ascii="仿宋_GB2312" w:eastAsia="仿宋_GB2312"/>
          <w:sz w:val="32"/>
          <w:szCs w:val="32"/>
        </w:rPr>
      </w:pPr>
      <w:r>
        <w:drawing>
          <wp:anchor distT="0" distB="0" distL="114300" distR="114300" simplePos="0" relativeHeight="251662336" behindDoc="0" locked="0" layoutInCell="1" allowOverlap="1">
            <wp:simplePos x="0" y="0"/>
            <wp:positionH relativeFrom="margin">
              <wp:posOffset>60960</wp:posOffset>
            </wp:positionH>
            <wp:positionV relativeFrom="paragraph">
              <wp:posOffset>876300</wp:posOffset>
            </wp:positionV>
            <wp:extent cx="5274310" cy="2187575"/>
            <wp:effectExtent l="0" t="0" r="2540" b="317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187575"/>
                    </a:xfrm>
                    <a:prstGeom prst="rect">
                      <a:avLst/>
                    </a:prstGeom>
                  </pic:spPr>
                </pic:pic>
              </a:graphicData>
            </a:graphic>
          </wp:anchor>
        </w:drawing>
      </w: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点击“发票下载”，进入安徽开放大学高等学历继续教育缴款码查询及发票下载系统。</w:t>
      </w:r>
    </w:p>
    <w:p>
      <w:pPr>
        <w:spacing w:line="600" w:lineRule="exact"/>
        <w:ind w:firstLine="640" w:firstLineChars="200"/>
        <w:rPr>
          <w:rFonts w:ascii="仿宋_GB2312" w:eastAsia="仿宋_GB2312"/>
          <w:sz w:val="32"/>
          <w:szCs w:val="32"/>
        </w:rPr>
      </w:pPr>
    </w:p>
    <w:p>
      <w:pPr>
        <w:spacing w:line="600" w:lineRule="exact"/>
        <w:ind w:firstLine="420" w:firstLineChars="200"/>
        <w:rPr>
          <w:rFonts w:ascii="仿宋_GB2312" w:eastAsia="仿宋_GB2312"/>
          <w:sz w:val="32"/>
          <w:szCs w:val="32"/>
        </w:rPr>
      </w:pPr>
      <w:r>
        <w:drawing>
          <wp:anchor distT="0" distB="0" distL="114300" distR="114300" simplePos="0" relativeHeight="251660288" behindDoc="0" locked="0" layoutInCell="1" allowOverlap="1">
            <wp:simplePos x="0" y="0"/>
            <wp:positionH relativeFrom="column">
              <wp:posOffset>234950</wp:posOffset>
            </wp:positionH>
            <wp:positionV relativeFrom="paragraph">
              <wp:posOffset>1193800</wp:posOffset>
            </wp:positionV>
            <wp:extent cx="5274310" cy="3830320"/>
            <wp:effectExtent l="0" t="0" r="254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830320"/>
                    </a:xfrm>
                    <a:prstGeom prst="rect">
                      <a:avLst/>
                    </a:prstGeom>
                  </pic:spPr>
                </pic:pic>
              </a:graphicData>
            </a:graphic>
          </wp:anchor>
        </w:drawing>
      </w: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在安徽开放大学高等学历继续教育缴款码查询及发票下载系统首页使用个人身份证号登录，密码默认为身份证号后六位。</w:t>
      </w:r>
    </w:p>
    <w:p>
      <w:pPr>
        <w:spacing w:line="600" w:lineRule="exact"/>
        <w:ind w:firstLine="640" w:firstLineChars="200"/>
        <w:rPr>
          <w:rFonts w:ascii="仿宋_GB2312" w:eastAsia="仿宋_GB2312"/>
          <w:sz w:val="32"/>
          <w:szCs w:val="32"/>
        </w:rPr>
      </w:pPr>
    </w:p>
    <w:p>
      <w:pPr>
        <w:spacing w:line="600" w:lineRule="exact"/>
        <w:ind w:firstLine="420" w:firstLineChars="200"/>
        <w:rPr>
          <w:rFonts w:ascii="仿宋_GB2312" w:eastAsia="仿宋_GB2312"/>
          <w:sz w:val="32"/>
          <w:szCs w:val="32"/>
        </w:rPr>
      </w:pPr>
      <w:r>
        <w:drawing>
          <wp:anchor distT="0" distB="0" distL="114300" distR="114300" simplePos="0" relativeHeight="251663360" behindDoc="0" locked="0" layoutInCell="1" allowOverlap="1">
            <wp:simplePos x="0" y="0"/>
            <wp:positionH relativeFrom="column">
              <wp:posOffset>234950</wp:posOffset>
            </wp:positionH>
            <wp:positionV relativeFrom="paragraph">
              <wp:posOffset>855980</wp:posOffset>
            </wp:positionV>
            <wp:extent cx="5274310" cy="2403475"/>
            <wp:effectExtent l="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03475"/>
                    </a:xfrm>
                    <a:prstGeom prst="rect">
                      <a:avLst/>
                    </a:prstGeom>
                  </pic:spPr>
                </pic:pic>
              </a:graphicData>
            </a:graphic>
          </wp:anchor>
        </w:drawing>
      </w: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进入个人页面，点击“缴款码查询及发票下载”查询缴款码。</w:t>
      </w:r>
    </w:p>
    <w:p>
      <w:pPr>
        <w:spacing w:line="600" w:lineRule="exact"/>
        <w:ind w:firstLine="420" w:firstLineChars="200"/>
        <w:rPr>
          <w:rFonts w:ascii="仿宋_GB2312" w:eastAsia="仿宋_GB2312"/>
          <w:sz w:val="32"/>
          <w:szCs w:val="32"/>
        </w:rPr>
      </w:pPr>
      <w:r>
        <w:drawing>
          <wp:anchor distT="0" distB="0" distL="114300" distR="114300" simplePos="0" relativeHeight="251666432" behindDoc="0" locked="0" layoutInCell="1" allowOverlap="1">
            <wp:simplePos x="0" y="0"/>
            <wp:positionH relativeFrom="margin">
              <wp:align>right</wp:align>
            </wp:positionH>
            <wp:positionV relativeFrom="paragraph">
              <wp:posOffset>793750</wp:posOffset>
            </wp:positionV>
            <wp:extent cx="5274310" cy="1395095"/>
            <wp:effectExtent l="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395095"/>
                    </a:xfrm>
                    <a:prstGeom prst="rect">
                      <a:avLst/>
                    </a:prstGeom>
                  </pic:spPr>
                </pic:pic>
              </a:graphicData>
            </a:graphic>
          </wp:anchor>
        </w:drawing>
      </w:r>
      <w:r>
        <w:rPr>
          <w:rFonts w:hint="eastAsia" w:ascii="仿宋_GB2312" w:eastAsia="仿宋_GB2312"/>
          <w:sz w:val="32"/>
          <w:szCs w:val="32"/>
        </w:rPr>
        <w:t>5</w:t>
      </w:r>
      <w:r>
        <w:rPr>
          <w:rFonts w:ascii="仿宋_GB2312" w:eastAsia="仿宋_GB2312"/>
          <w:sz w:val="32"/>
          <w:szCs w:val="32"/>
        </w:rPr>
        <w:t>.</w:t>
      </w:r>
      <w:r>
        <w:rPr>
          <w:rFonts w:hint="eastAsia" w:ascii="仿宋_GB2312" w:eastAsia="仿宋_GB2312"/>
          <w:sz w:val="32"/>
          <w:szCs w:val="32"/>
        </w:rPr>
        <w:t>复制缴款码，点击链接进入“安徽财政电子票据公共服务平台”。</w:t>
      </w:r>
    </w:p>
    <w:p>
      <w:pPr>
        <w:spacing w:line="600" w:lineRule="exact"/>
        <w:ind w:firstLine="420" w:firstLineChars="200"/>
        <w:rPr>
          <w:rFonts w:ascii="仿宋_GB2312" w:eastAsia="仿宋_GB2312"/>
          <w:sz w:val="32"/>
          <w:szCs w:val="32"/>
        </w:rPr>
      </w:pPr>
      <w:r>
        <w:drawing>
          <wp:anchor distT="0" distB="0" distL="114300" distR="114300" simplePos="0" relativeHeight="251664384" behindDoc="0" locked="0" layoutInCell="1" allowOverlap="1">
            <wp:simplePos x="0" y="0"/>
            <wp:positionH relativeFrom="margin">
              <wp:align>right</wp:align>
            </wp:positionH>
            <wp:positionV relativeFrom="paragraph">
              <wp:posOffset>2609850</wp:posOffset>
            </wp:positionV>
            <wp:extent cx="5274310" cy="2464435"/>
            <wp:effectExtent l="0" t="0" r="254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64435"/>
                    </a:xfrm>
                    <a:prstGeom prst="rect">
                      <a:avLst/>
                    </a:prstGeom>
                  </pic:spPr>
                </pic:pic>
              </a:graphicData>
            </a:graphic>
          </wp:anchor>
        </w:drawing>
      </w:r>
      <w:r>
        <w:rPr>
          <w:rFonts w:hint="eastAsia" w:ascii="仿宋_GB2312" w:eastAsia="仿宋_GB2312"/>
          <w:sz w:val="32"/>
          <w:szCs w:val="32"/>
        </w:rPr>
        <w:t>6</w:t>
      </w:r>
      <w:r>
        <w:rPr>
          <w:rFonts w:ascii="仿宋_GB2312" w:eastAsia="仿宋_GB2312"/>
          <w:sz w:val="32"/>
          <w:szCs w:val="32"/>
        </w:rPr>
        <w:t>.</w:t>
      </w:r>
      <w:r>
        <w:rPr>
          <w:rFonts w:hint="eastAsia" w:ascii="仿宋_GB2312" w:eastAsia="仿宋_GB2312"/>
          <w:sz w:val="32"/>
          <w:szCs w:val="32"/>
        </w:rPr>
        <w:t>在“安徽财政电子票据公共服务平台”，选择“缴款码查验”选项，在相应位置输入复制的缴款码，获取验证码后点击“查验”。</w:t>
      </w:r>
    </w:p>
    <w:p>
      <w:pPr>
        <w:spacing w:line="600" w:lineRule="exact"/>
        <w:ind w:firstLine="420" w:firstLineChars="200"/>
        <w:rPr>
          <w:rFonts w:ascii="仿宋_GB2312" w:eastAsia="仿宋_GB2312"/>
          <w:sz w:val="32"/>
          <w:szCs w:val="32"/>
        </w:rPr>
      </w:pPr>
      <w:r>
        <w:drawing>
          <wp:anchor distT="0" distB="0" distL="114300" distR="114300" simplePos="0" relativeHeight="251665408" behindDoc="0" locked="0" layoutInCell="1" allowOverlap="1">
            <wp:simplePos x="0" y="0"/>
            <wp:positionH relativeFrom="margin">
              <wp:align>right</wp:align>
            </wp:positionH>
            <wp:positionV relativeFrom="paragraph">
              <wp:posOffset>2965450</wp:posOffset>
            </wp:positionV>
            <wp:extent cx="5274310" cy="2508250"/>
            <wp:effectExtent l="0" t="0" r="2540" b="635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508250"/>
                    </a:xfrm>
                    <a:prstGeom prst="rect">
                      <a:avLst/>
                    </a:prstGeom>
                  </pic:spPr>
                </pic:pic>
              </a:graphicData>
            </a:graphic>
          </wp:anchor>
        </w:drawing>
      </w:r>
      <w:r>
        <w:rPr>
          <w:rFonts w:hint="eastAsia" w:ascii="仿宋_GB2312" w:eastAsia="仿宋_GB2312"/>
          <w:sz w:val="32"/>
          <w:szCs w:val="32"/>
        </w:rPr>
        <w:t>7</w:t>
      </w:r>
      <w:r>
        <w:rPr>
          <w:rFonts w:ascii="仿宋_GB2312" w:eastAsia="仿宋_GB2312"/>
          <w:sz w:val="32"/>
          <w:szCs w:val="32"/>
        </w:rPr>
        <w:t>.</w:t>
      </w:r>
      <w:r>
        <w:rPr>
          <w:rFonts w:hint="eastAsia" w:ascii="仿宋_GB2312" w:eastAsia="仿宋_GB2312"/>
          <w:sz w:val="32"/>
          <w:szCs w:val="32"/>
        </w:rPr>
        <w:t>获取个人发票，选择“下载”或“打印”。</w:t>
      </w:r>
    </w:p>
    <w:p>
      <w:pPr>
        <w:spacing w:line="600" w:lineRule="exact"/>
        <w:ind w:firstLine="643" w:firstLineChars="200"/>
        <w:rPr>
          <w:rFonts w:ascii="仿宋_GB2312" w:eastAsia="仿宋_GB2312"/>
          <w:b/>
          <w:bCs/>
          <w:sz w:val="32"/>
          <w:szCs w:val="32"/>
        </w:rPr>
      </w:pPr>
      <w:r>
        <w:rPr>
          <w:rFonts w:hint="eastAsia" w:ascii="仿宋_GB2312" w:eastAsia="仿宋_GB2312"/>
          <w:b/>
          <w:bCs/>
          <w:sz w:val="32"/>
          <w:szCs w:val="32"/>
        </w:rPr>
        <w:t>二、直接登录</w:t>
      </w:r>
      <w:r>
        <w:fldChar w:fldCharType="begin"/>
      </w:r>
      <w:r>
        <w:instrText xml:space="preserve"> HYPERLINK "http://218.22.21.239:51637/jksbmcx/" </w:instrText>
      </w:r>
      <w:r>
        <w:fldChar w:fldCharType="separate"/>
      </w:r>
      <w:r>
        <w:rPr>
          <w:rStyle w:val="8"/>
          <w:rFonts w:ascii="仿宋_GB2312" w:eastAsia="仿宋_GB2312"/>
          <w:b/>
          <w:bCs/>
          <w:sz w:val="32"/>
          <w:szCs w:val="32"/>
        </w:rPr>
        <w:t>http://218.22.21.239:51637/jksbmcx/</w:t>
      </w:r>
      <w:r>
        <w:rPr>
          <w:rStyle w:val="8"/>
          <w:rFonts w:ascii="仿宋_GB2312" w:eastAsia="仿宋_GB2312"/>
          <w:b/>
          <w:bCs/>
          <w:sz w:val="32"/>
          <w:szCs w:val="32"/>
        </w:rPr>
        <w:fldChar w:fldCharType="end"/>
      </w:r>
      <w:r>
        <w:rPr>
          <w:rFonts w:hint="eastAsia" w:ascii="仿宋_GB2312" w:eastAsia="仿宋_GB2312"/>
          <w:b/>
          <w:bCs/>
          <w:sz w:val="32"/>
          <w:szCs w:val="32"/>
        </w:rPr>
        <w:t>，进入安徽开放大学高等学历继续教育缴款码查询及发票下载系统，进行上述相应操作。</w:t>
      </w:r>
    </w:p>
    <w:sectPr>
      <w:footerReference r:id="rId4" w:type="first"/>
      <w:footerReference r:id="rId3"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683125226"/>
                            <w:docPartObj>
                              <w:docPartGallery w:val="autotext"/>
                            </w:docPartObj>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sdt>
                    <w:sdtPr>
                      <w:id w:val="-1683125226"/>
                      <w:docPartObj>
                        <w:docPartGallery w:val="autotext"/>
                      </w:docPartObj>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2618105</wp:posOffset>
              </wp:positionH>
              <wp:positionV relativeFrom="paragraph">
                <wp:posOffset>-149225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6.15pt;margin-top:-11.75pt;height:144pt;width:144pt;mso-position-horizontal-relative:margin;mso-wrap-style:none;z-index:251660288;mso-width-relative:page;mso-height-relative:page;" filled="f" stroked="f" coordsize="21600,21600" o:gfxdata="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BvEfn7ZAAAACwEAAA8AAAAAAAAAAQAgAAAAIgAAAGRycy9kb3ducmV2Lnht&#10;bFBLAQIUABQAAAAIAIdO4kCi6pUg3AIAACQGAAAOAAAAAAAAAAEAIAAAACgBAABkcnMvZTJvRG9j&#10;LnhtbFBLBQYAAAAABgAGAFkBAAB2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g1ZTIxNzRmNGRjNjI5MGYyMGY0NzU4MWYyMjRiNDEifQ=="/>
  </w:docVars>
  <w:rsids>
    <w:rsidRoot w:val="00E15AA1"/>
    <w:rsid w:val="000B57E7"/>
    <w:rsid w:val="000F3833"/>
    <w:rsid w:val="00196381"/>
    <w:rsid w:val="001D3BF6"/>
    <w:rsid w:val="00294B0B"/>
    <w:rsid w:val="002C1DE0"/>
    <w:rsid w:val="00355642"/>
    <w:rsid w:val="003A63E9"/>
    <w:rsid w:val="0041797D"/>
    <w:rsid w:val="004B590F"/>
    <w:rsid w:val="00505BE0"/>
    <w:rsid w:val="005E4CEB"/>
    <w:rsid w:val="00604E35"/>
    <w:rsid w:val="00693B15"/>
    <w:rsid w:val="007423D0"/>
    <w:rsid w:val="007623B6"/>
    <w:rsid w:val="0078518E"/>
    <w:rsid w:val="007A266B"/>
    <w:rsid w:val="008371BE"/>
    <w:rsid w:val="00855B3E"/>
    <w:rsid w:val="008C0781"/>
    <w:rsid w:val="00925BE5"/>
    <w:rsid w:val="00956DE8"/>
    <w:rsid w:val="0099415D"/>
    <w:rsid w:val="009C490C"/>
    <w:rsid w:val="009D2654"/>
    <w:rsid w:val="00A44DBE"/>
    <w:rsid w:val="00AF16B2"/>
    <w:rsid w:val="00AF692C"/>
    <w:rsid w:val="00BD5198"/>
    <w:rsid w:val="00BE3026"/>
    <w:rsid w:val="00C34626"/>
    <w:rsid w:val="00E15AA1"/>
    <w:rsid w:val="00F2406E"/>
    <w:rsid w:val="00F51BC6"/>
    <w:rsid w:val="00F77E31"/>
    <w:rsid w:val="0D0F45DA"/>
    <w:rsid w:val="1FD2767B"/>
    <w:rsid w:val="24A123D3"/>
    <w:rsid w:val="5AD04341"/>
    <w:rsid w:val="624E36C4"/>
    <w:rsid w:val="7EB76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0"/>
    <w:semiHidden/>
    <w:unhideWhenUsed/>
    <w:uiPriority w:val="99"/>
    <w:pPr>
      <w:ind w:left="100" w:leftChars="2500"/>
    </w:p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563C1" w:themeColor="hyperlink"/>
      <w:u w:val="single"/>
      <w14:textFill>
        <w14:solidFill>
          <w14:schemeClr w14:val="hlink"/>
        </w14:solidFill>
      </w14:textFill>
    </w:rPr>
  </w:style>
  <w:style w:type="character" w:customStyle="1" w:styleId="9">
    <w:name w:val="Unresolved Mention"/>
    <w:basedOn w:val="6"/>
    <w:semiHidden/>
    <w:unhideWhenUsed/>
    <w:qFormat/>
    <w:uiPriority w:val="99"/>
    <w:rPr>
      <w:color w:val="605E5C"/>
      <w:shd w:val="clear" w:color="auto" w:fill="E1DFDD"/>
    </w:rPr>
  </w:style>
  <w:style w:type="character" w:customStyle="1" w:styleId="10">
    <w:name w:val="日期 字符"/>
    <w:basedOn w:val="6"/>
    <w:link w:val="2"/>
    <w:semiHidden/>
    <w:qFormat/>
    <w:uiPriority w:val="99"/>
  </w:style>
  <w:style w:type="character" w:customStyle="1" w:styleId="11">
    <w:name w:val="页眉 字符"/>
    <w:basedOn w:val="6"/>
    <w:link w:val="4"/>
    <w:uiPriority w:val="99"/>
    <w:rPr>
      <w:sz w:val="18"/>
      <w:szCs w:val="18"/>
    </w:rPr>
  </w:style>
  <w:style w:type="character" w:customStyle="1" w:styleId="12">
    <w:name w:val="页脚 字符"/>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4E21EC-85EA-4F10-B7E1-B6580429FF57}">
  <ds:schemaRefs/>
</ds:datastoreItem>
</file>

<file path=docProps/app.xml><?xml version="1.0" encoding="utf-8"?>
<Properties xmlns="http://schemas.openxmlformats.org/officeDocument/2006/extended-properties" xmlns:vt="http://schemas.openxmlformats.org/officeDocument/2006/docPropsVTypes">
  <Template>Normal</Template>
  <Pages>4</Pages>
  <Words>363</Words>
  <Characters>404</Characters>
  <Lines>6</Lines>
  <Paragraphs>1</Paragraphs>
  <TotalTime>2</TotalTime>
  <ScaleCrop>false</ScaleCrop>
  <LinksUpToDate>false</LinksUpToDate>
  <CharactersWithSpaces>404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2021-12-02T00:49:00Z</dcterms:created>
  <dc:creator>Xiao Yadong</dc:creator>
  <cp:lastModifiedBy>user</cp:lastModifiedBy>
  <cp:lastPrinted>2021-12-03T07:04:00Z</cp:lastPrinted>
  <dcterms:modified xsi:type="dcterms:W3CDTF">2022-08-31T07:31:03Z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731735DC9B1B442693BC6B00A5C2ED5D</vt:lpwstr>
  </property>
</Properties>
</file>